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Sutherland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Sutherland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45.517</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-63.677</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Sutherland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Sutherland Lake is a small lake in Colchester County in northern Nova Scotia.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The shoreline and upland surrounding the lake has dense with residential or cottage properties and is almost completely privately owned. The forested upland is composed of stands dominated by Balsam Fir, Yellow Birch, Sugar Maple and spruce (NS Department of Natural Resources, Provincial Landscape Viewer).</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5200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Min. number of RUs is calculated as half the estimated population size given in the COSEWIC assessment and status report (COSEWIC 2005. COSEWIC assessment and status report on the prototype quillwort Isoetes prototypus in Canada. Committee on the Status of Endangered Wildlife in Canada. Ottawa. vii + 31 pp. ). Note: The number of RUs is likley higher as it is thought that Isoetes species undergo intergametophytic (i.e., sporophytic) selfing analogous to self-pollination in seed plants.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COSEWIC 2005. COSEWIC assessment and status report on the prototype quillwort Isoetes prototypus in Canada. Committee on the Status of Endangered Wildlife in Canada. Ottawa. vii + 31 pp.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Prototype Quillwort is known from 15 unconnected lakes in Canada. Despite an incomplete understanding of its full distribution, Prototype Quillwort seems genuninely restricted to known localities and not simply overlooked, as evidenced by the large number of surveys to detect the species in suitable habitat, see: Environment Canada. 2012. Management Plan for the Prototype Quillwort (Isoetes prototypus) in Canada. Species at Risk Act Management Plan Series. Environment Canada, Ottawa. iii + 16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Invasive &amp; other problematic species, genes &amp; diseases; Natural system modifications;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Resource &amp; habitat protection; Awareness &amp; communications</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2021-03-02T14:25:27Z</dcterms:modified>
</cp:coreProperties>
</file>